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华文中宋" w:hAnsi="华文中宋" w:eastAsia="华文中宋" w:cs="楷体_GB2312"/>
          <w:color w:val="FF0000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342265</wp:posOffset>
                </wp:positionV>
                <wp:extent cx="6111240" cy="1004570"/>
                <wp:effectExtent l="7620" t="1270" r="5715" b="38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>
                        <a:spLocks noChangeArrowheads="true" noChangeShapeType="true" noTextEdit="true"/>
                      </wps:cNvSpPr>
                      <wps:spPr bwMode="auto">
                        <a:xfrm>
                          <a:off x="0" y="0"/>
                          <a:ext cx="6111240" cy="10045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华文中宋" w:hAnsi="华文中宋" w:eastAsia="华文中宋"/>
                                <w:b/>
                                <w:bCs/>
                                <w:color w:val="FF00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滕州市人民政府办公室文件</w:t>
                            </w:r>
                          </w:p>
                        </w:txbxContent>
                      </wps:txbx>
                      <wps:bodyPr wrap="square" numCol="1" fromWordArt="true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8pt;margin-top:26.95pt;height:79.1pt;width:481.2pt;z-index:251659264;mso-width-relative:page;mso-height-relative:page;" filled="f" stroked="f" coordsize="21600,21600" o:gfxdata="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BYAAABkcnMvUEsBAhQAFAAAAAgAh07i&#10;QKIK8ujaAAAACgEAAA8AAAAAAAAAAQAgAAAAOAAAAGRycy9kb3ducmV2LnhtbFBLAQIUABQAAAAI&#10;AIdO4kC5dvcNDgIAAOsDAAAOAAAAAAAAAAEAIAAAAD8BAABkcnMvZTJvRG9jLnhtbFBLBQYAAAAA&#10;BgAGAFkBAAC/BQAAAAA=&#10;" adj="10800">
                <v:fill on="f" focussize="0,0"/>
                <v:stroke on="f"/>
                <v:imagedata o:title=""/>
                <o:lock v:ext="edit" text="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ascii="华文中宋" w:hAnsi="华文中宋" w:eastAsia="华文中宋"/>
                          <w:b/>
                          <w:bCs/>
                          <w:color w:val="FF00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b/>
                          <w:bCs/>
                          <w:color w:val="FF0000"/>
                          <w:sz w:val="72"/>
                          <w:szCs w:val="72"/>
                        </w:rPr>
                        <w:t>滕州市人民政府办公室文件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6"/>
        <w:spacing w:line="1000" w:lineRule="exact"/>
        <w:ind w:left="5250" w:firstLine="703"/>
        <w:rPr>
          <w:kern w:val="0"/>
        </w:rPr>
      </w:pPr>
    </w:p>
    <w:p>
      <w:pPr>
        <w:pStyle w:val="2"/>
        <w:adjustRightInd w:val="0"/>
        <w:spacing w:line="560" w:lineRule="exact"/>
        <w:ind w:firstLine="0" w:firstLineChars="0"/>
        <w:jc w:val="center"/>
        <w:rPr>
          <w:rFonts w:ascii="仿宋_GB2312" w:eastAsia="仿宋_GB2312"/>
          <w:snapToGrid w:val="0"/>
          <w:kern w:val="0"/>
          <w:sz w:val="32"/>
          <w:szCs w:val="32"/>
          <w:lang w:bidi="ar"/>
        </w:rPr>
      </w:pPr>
      <w:r>
        <w:rPr>
          <w:rFonts w:hint="eastAsia" w:ascii="仿宋_GB2312" w:eastAsia="仿宋_GB2312"/>
          <w:snapToGrid w:val="0"/>
          <w:kern w:val="0"/>
          <w:sz w:val="32"/>
          <w:szCs w:val="32"/>
          <w:lang w:bidi="ar"/>
        </w:rPr>
        <w:t>滕政办发〔202</w:t>
      </w:r>
      <w:r>
        <w:rPr>
          <w:rFonts w:ascii="仿宋_GB2312" w:eastAsia="仿宋_GB2312"/>
          <w:snapToGrid w:val="0"/>
          <w:kern w:val="0"/>
          <w:sz w:val="32"/>
          <w:szCs w:val="32"/>
          <w:lang w:bidi="ar"/>
        </w:rPr>
        <w:t>2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bidi="ar"/>
        </w:rPr>
        <w:t>〕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val="en-US" w:eastAsia="zh-CN" w:bidi="ar"/>
        </w:rPr>
        <w:t>15</w:t>
      </w:r>
      <w:r>
        <w:rPr>
          <w:rFonts w:hint="eastAsia" w:ascii="仿宋_GB2312" w:eastAsia="仿宋_GB2312"/>
          <w:snapToGrid w:val="0"/>
          <w:kern w:val="0"/>
          <w:sz w:val="32"/>
          <w:szCs w:val="32"/>
          <w:lang w:bidi="ar"/>
        </w:rPr>
        <w:t>号</w:t>
      </w:r>
    </w:p>
    <w:p>
      <w:pPr>
        <w:adjustRightInd w:val="0"/>
        <w:spacing w:line="500" w:lineRule="exact"/>
        <w:jc w:val="center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华文中宋" w:hAnsi="华文中宋" w:eastAsia="华文中宋" w:cs="楷体_GB2312"/>
          <w:color w:val="FF0000"/>
          <w:spacing w:val="-2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231775</wp:posOffset>
                </wp:positionV>
                <wp:extent cx="5143500" cy="635"/>
                <wp:effectExtent l="20320" t="14605" r="17780" b="228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5143500" cy="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.7pt;margin-top:18.25pt;height:0.05pt;width:405pt;z-index:251660288;mso-width-relative:page;mso-height-relative:page;" filled="f" stroked="t" coordsize="21600,21600" o:gfxdata="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Ar8KwP1AAAAAgB&#10;AAAPAAAAAAAAAAEAIAAAADgAAABkcnMvZG93bnJldi54bWxQSwECFAAUAAAACACHTuJAT6kNQNAB&#10;AABiAwAADgAAAAAAAAABACAAAAA5AQAAZHJzL2Uyb0RvYy54bWxQSwUGAAAAAAYABgBZAQAAewUA&#10;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312" w:beforeLines="100" w:after="312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滕州市人民政府办公室</w:t>
      </w:r>
    </w:p>
    <w:p>
      <w:pPr>
        <w:spacing w:before="312" w:beforeLines="100" w:after="312" w:afterLines="100" w:line="600" w:lineRule="exact"/>
        <w:ind w:right="-420" w:rightChars="-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关于印发《滕州市数据专员工作方案》的通知</w:t>
      </w:r>
    </w:p>
    <w:p/>
    <w:p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各镇人民政府、街道办事处、市直各单位（部门）：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《滕州市数据专员工作方案》</w:t>
      </w:r>
      <w:r>
        <w:rPr>
          <w:rFonts w:ascii="仿宋_GB2312" w:eastAsia="仿宋_GB2312"/>
          <w:sz w:val="32"/>
          <w:szCs w:val="32"/>
        </w:rPr>
        <w:t>已经市政府</w:t>
      </w:r>
      <w:r>
        <w:rPr>
          <w:rFonts w:hint="eastAsia" w:ascii="仿宋_GB2312" w:eastAsia="仿宋_GB2312"/>
          <w:sz w:val="32"/>
          <w:szCs w:val="32"/>
        </w:rPr>
        <w:t>常务会议研究</w:t>
      </w:r>
      <w:r>
        <w:rPr>
          <w:rFonts w:ascii="仿宋_GB2312" w:eastAsia="仿宋_GB2312"/>
          <w:sz w:val="32"/>
          <w:szCs w:val="32"/>
        </w:rPr>
        <w:t>同意，现印发给你们，请认真贯彻实施。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/>
    <w:p/>
    <w:p/>
    <w:p/>
    <w:p/>
    <w:p/>
    <w:p>
      <w:pPr>
        <w:ind w:firstLine="5120" w:firstLineChars="16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滕州市人民政府办公室</w:t>
      </w:r>
    </w:p>
    <w:p>
      <w:pPr>
        <w:ind w:right="840" w:rightChars="400"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p>
      <w:pPr>
        <w:spacing w:before="312" w:beforeLines="100" w:after="312" w:afterLines="100" w:line="600" w:lineRule="exact"/>
        <w:rPr>
          <w:rFonts w:ascii="方正小标宋简体" w:eastAsia="方正小标宋简体"/>
          <w:sz w:val="44"/>
          <w:szCs w:val="44"/>
        </w:rPr>
      </w:pPr>
    </w:p>
    <w:p>
      <w:pPr>
        <w:spacing w:before="312" w:beforeLines="100" w:after="312" w:afterLines="100"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滕州市数据专员工作方案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为贯彻落实《山东省大数据发展促进条例》有关精神，进一步理顺我市大数据、信息化工作体制机制，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加快推进数据要素市场化配置改革，健全完善数据共享协调机制，推动实施数据专员制度，制定本工作方案。</w:t>
      </w:r>
    </w:p>
    <w:p>
      <w:pPr>
        <w:spacing w:line="600" w:lineRule="exact"/>
        <w:ind w:firstLine="64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一、工作目标</w:t>
      </w:r>
    </w:p>
    <w:p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以习近平新时代中国特色社会主义思想为指导，全面贯彻党的十九大和十九届历次全会精神，深入贯彻习近平总书记对山东系列重要讲话和重要指示批示精神，以《山东省大数据发展促进条例》实施为契机，在各镇街、市直各单位（部门）建立数据专员制度，明确职责范围，健全评价机制，创新数据共享开放和开发利用模式，提高数据治理和数据运营能力，助力数字政府建设和数字经济创新发展。</w:t>
      </w:r>
    </w:p>
    <w:p>
      <w:pPr>
        <w:widowControl/>
        <w:shd w:val="clear" w:color="auto" w:fill="FFFFFF"/>
        <w:spacing w:line="500" w:lineRule="atLeast"/>
        <w:ind w:firstLine="64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二、主要任务</w:t>
      </w:r>
    </w:p>
    <w:p>
      <w:pPr>
        <w:spacing w:line="600" w:lineRule="exact"/>
        <w:ind w:firstLine="645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（一）完善数据专员工作机制。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各镇街、市直各单位分别设立数据专员，原则上</w:t>
      </w:r>
      <w:r>
        <w:rPr>
          <w:rFonts w:hint="eastAsia" w:ascii="仿宋_GB2312" w:eastAsia="仿宋_GB2312"/>
          <w:sz w:val="32"/>
          <w:szCs w:val="32"/>
        </w:rPr>
        <w:t>由各单位分管办公室的科级领导干部担任，同时至少配备1名熟悉大数据、信息化的工作人员，各单位办公室具体承接大数据、信息化相关工作任务，有条件的可以单独设立负责大数据、信息化工作的具体科室。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各镇街、市直各单位确定的数据专员需报市大数据局备案，市大数据局负责牵头协调推进数据专员相关工作。</w:t>
      </w:r>
    </w:p>
    <w:p>
      <w:pPr>
        <w:spacing w:line="600" w:lineRule="exact"/>
        <w:ind w:firstLine="645"/>
        <w:rPr>
          <w:rFonts w:ascii="楷体_GB2312" w:hAnsi="宋体" w:eastAsia="楷体_GB2312" w:cs="宋体"/>
          <w:color w:val="333333"/>
          <w:kern w:val="0"/>
          <w:sz w:val="32"/>
          <w:szCs w:val="32"/>
        </w:rPr>
      </w:pPr>
      <w:r>
        <w:rPr>
          <w:rFonts w:hint="eastAsia" w:ascii="楷体_GB2312" w:hAnsi="宋体" w:eastAsia="楷体_GB2312" w:cs="宋体"/>
          <w:color w:val="333333"/>
          <w:kern w:val="0"/>
          <w:sz w:val="32"/>
          <w:szCs w:val="32"/>
        </w:rPr>
        <w:t>（二）明确数据专员职责范围。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ind w:firstLine="642" w:firstLineChars="200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1．推进新型智慧城市和数字政府建设。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组织落实市“数字滕州”建设领导小组决定事项、部署任务，推进新型智慧城市和智慧社区建设；组织制订本级政府或本部门数字政府发展规划、数据战略规划、标准规范和实施计划；推进政务服务“一网通办”、社会治理“一网统管”和政府运行“一网协同”，打造县域新型智慧城市标杆和数字政府典范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hint="eastAsia" w:ascii="仿宋_GB2312" w:hAnsi="微软雅黑" w:eastAsia="仿宋_GB2312"/>
          <w:color w:val="040404"/>
          <w:sz w:val="32"/>
          <w:szCs w:val="32"/>
        </w:rPr>
        <w:t>　</w:t>
      </w: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　2．完善数据标准化管理。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推动《</w:t>
      </w:r>
      <w:r>
        <w:rPr>
          <w:rFonts w:hint="eastAsia" w:ascii="仿宋_GB2312" w:eastAsia="仿宋_GB2312"/>
          <w:sz w:val="32"/>
          <w:szCs w:val="32"/>
        </w:rPr>
        <w:t>山东省大数据发展促进条例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》实施，建立完善管理机制，研究制定配套法规制度，编制培育数据要素市场工作实施方案；围绕数据全周期管理，推动数据分类分级、数据目录、数据交易、数据治理、数据安全等标准体系建设；统筹管理数据普查登记、规范采集、加工处理、数据分析、标准规范执行、质量管理、安全管控、绩效评估等工作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ind w:firstLine="645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3．推进数据融合创新应用。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结合各单位数据需求，统筹推进数据共享开放和开发利用工作，推动公共数据与社会数据深度融合和应用场景创新，开展数据应用创新研究，积极推进重点领域应用场景落地实施。做好政务服务改革数据支撑，深化“网上办”“掌上办”等政务服务改革，推动更多政务服务事项实现跨省通办、跨地通办。积极促进数据开发共享利用，优化数字资源的配置效率，支持多领域数据的联通共享，推动数据红利不断释放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ind w:firstLine="645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4</w:t>
      </w:r>
      <w:r>
        <w:rPr>
          <w:rFonts w:ascii="仿宋_GB2312" w:hAnsi="微软雅黑" w:eastAsia="仿宋_GB2312"/>
          <w:b/>
          <w:bCs/>
          <w:color w:val="040404"/>
          <w:sz w:val="32"/>
          <w:szCs w:val="32"/>
        </w:rPr>
        <w:t>.</w:t>
      </w: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做好信息化服务工作。</w:t>
      </w:r>
      <w:r>
        <w:rPr>
          <w:rFonts w:hint="eastAsia" w:ascii="仿宋_GB2312" w:eastAsia="仿宋_GB2312"/>
          <w:sz w:val="32"/>
          <w:szCs w:val="32"/>
        </w:rPr>
        <w:t>结合各单位实际，做好本单位网络日常维护和网络安全管理工作，做好“山东通”使用培训，确保现有在用App“应接尽接”入驻“山东通”，保障滕州市协同办公平台正常运行。做好视频会议支撑服务保障工作，定期维护雪亮视频会议、山东通视频会议、山东省综合视频会议等系统，保障省、市各级会议正常召开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ind w:firstLine="642" w:firstLineChars="200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5</w:t>
      </w:r>
      <w:r>
        <w:rPr>
          <w:rFonts w:ascii="仿宋_GB2312" w:hAnsi="微软雅黑" w:eastAsia="仿宋_GB2312"/>
          <w:b/>
          <w:bCs/>
          <w:color w:val="040404"/>
          <w:sz w:val="32"/>
          <w:szCs w:val="32"/>
        </w:rPr>
        <w:t>.</w:t>
      </w: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 xml:space="preserve"> 开展特色数据应用探索。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各单位要结合各自数据资源和业务应用基础与特点，开展特色数据应用探索。各单位结合各自行业业务管理和行业数据特点，重点从基层社会治理、城市管理、智慧社区、数字乡村、政务服务、行业监管等方面挖掘数据应用特色，形成一批可推广、可复制的数据应用案例，充分发挥数据助力经济社会发展作用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hint="eastAsia" w:ascii="仿宋_GB2312" w:hAnsi="微软雅黑" w:eastAsia="仿宋_GB2312"/>
          <w:color w:val="040404"/>
          <w:sz w:val="32"/>
          <w:szCs w:val="32"/>
        </w:rPr>
        <w:t>　</w:t>
      </w: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　</w:t>
      </w:r>
      <w:r>
        <w:rPr>
          <w:rFonts w:ascii="仿宋_GB2312" w:hAnsi="微软雅黑" w:eastAsia="仿宋_GB2312"/>
          <w:b/>
          <w:bCs/>
          <w:color w:val="040404"/>
          <w:sz w:val="32"/>
          <w:szCs w:val="32"/>
        </w:rPr>
        <w:t>6</w:t>
      </w: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．实施常态化指导监督。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协调解决涉及本单位信息化项目建设中的重大问题，指导开展信息化项目评价工作，对信息化项目的立项、验收工作拥有“一票否决权”。对数据治理运营、信息化建设等执行情况进行监督，及时发现、制止及纠正违反有关法律法规、方针政策和可能造成重大损失的行为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ind w:firstLine="645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ascii="仿宋_GB2312" w:hAnsi="微软雅黑" w:eastAsia="仿宋_GB2312"/>
          <w:b/>
          <w:bCs/>
          <w:color w:val="040404"/>
          <w:sz w:val="32"/>
          <w:szCs w:val="32"/>
        </w:rPr>
        <w:t>7</w:t>
      </w:r>
      <w:r>
        <w:rPr>
          <w:rFonts w:hint="eastAsia" w:ascii="仿宋_GB2312" w:hAnsi="微软雅黑" w:eastAsia="仿宋_GB2312"/>
          <w:b/>
          <w:bCs/>
          <w:color w:val="040404"/>
          <w:sz w:val="32"/>
          <w:szCs w:val="32"/>
        </w:rPr>
        <w:t>．加强人才队伍建设。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数据专员负责推动本级数据运营机构建设，组织开展本级数据技能与安全培训工作，组织开展本部门全员数据技能与安全培训，建立本级数据人才库。</w:t>
      </w:r>
    </w:p>
    <w:p>
      <w:pPr>
        <w:widowControl/>
        <w:shd w:val="clear" w:color="auto" w:fill="FFFFFF"/>
        <w:spacing w:line="500" w:lineRule="atLeast"/>
        <w:ind w:firstLine="64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三、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工作要求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ind w:firstLine="640" w:firstLineChars="200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hint="eastAsia" w:ascii="楷体_GB2312" w:hAnsi="微软雅黑" w:eastAsia="楷体_GB2312"/>
          <w:color w:val="040404"/>
          <w:sz w:val="32"/>
          <w:szCs w:val="32"/>
        </w:rPr>
        <w:t>（一）加强组织实施。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市大数据局建立常态化数据专员工作沟通机制，推动各级各部门数据专员开展业务交流与合作；在公共支撑、平台应用、数据共享交换、数据治理、数据资产等方面给予支持保障。各镇街、市直各单位要结合实际积极探索，制订本镇街、本部门实施方案，并报送市大数据局备案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hint="eastAsia" w:ascii="仿宋_GB2312" w:hAnsi="微软雅黑" w:eastAsia="仿宋_GB2312"/>
          <w:color w:val="040404"/>
          <w:sz w:val="32"/>
          <w:szCs w:val="32"/>
        </w:rPr>
        <w:t>　　</w:t>
      </w:r>
      <w:r>
        <w:rPr>
          <w:rFonts w:hint="eastAsia" w:ascii="楷体_GB2312" w:hAnsi="微软雅黑" w:eastAsia="楷体_GB2312"/>
          <w:color w:val="040404"/>
          <w:sz w:val="32"/>
          <w:szCs w:val="32"/>
        </w:rPr>
        <w:t>（二）完善配套措施。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各单位根据实际情况，确定各自数据专员和相关工作人员，对不设数据专员的单位，进行大数据、信息化项目建设时，市财政将不予支持。同时，要完善绩效评估等方面配套措施，为数据专员高效履职提供保障。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jc w:val="both"/>
        <w:rPr>
          <w:rFonts w:ascii="仿宋_GB2312" w:hAnsi="微软雅黑" w:eastAsia="仿宋_GB2312"/>
          <w:color w:val="040404"/>
          <w:sz w:val="32"/>
          <w:szCs w:val="32"/>
        </w:rPr>
      </w:pPr>
      <w:r>
        <w:rPr>
          <w:rFonts w:hint="eastAsia" w:ascii="仿宋_GB2312" w:hAnsi="微软雅黑" w:eastAsia="仿宋_GB2312"/>
          <w:color w:val="040404"/>
          <w:sz w:val="32"/>
          <w:szCs w:val="32"/>
        </w:rPr>
        <w:t>　　</w:t>
      </w:r>
      <w:r>
        <w:rPr>
          <w:rFonts w:hint="eastAsia" w:ascii="楷体_GB2312" w:hAnsi="微软雅黑" w:eastAsia="楷体_GB2312"/>
          <w:color w:val="040404"/>
          <w:sz w:val="32"/>
          <w:szCs w:val="32"/>
        </w:rPr>
        <w:t>（三）加强交流培训</w:t>
      </w:r>
      <w:r>
        <w:rPr>
          <w:rFonts w:hint="eastAsia" w:ascii="仿宋_GB2312" w:hAnsi="微软雅黑" w:eastAsia="仿宋_GB2312"/>
          <w:color w:val="040404"/>
          <w:sz w:val="32"/>
          <w:szCs w:val="32"/>
        </w:rPr>
        <w:t>。市大数据局不定期召开培训交流会议，组织各单位数据专员和工作人员就“山东通”、协同办公平台、数据治理等开展业务交流；同时，各单位数据专员要组织面对本单位工作人员开展相关工作培训。</w:t>
      </w:r>
    </w:p>
    <w:p>
      <w:pPr>
        <w:pStyle w:val="7"/>
        <w:shd w:val="clear" w:color="auto" w:fill="FFFFFF"/>
        <w:spacing w:before="0" w:beforeAutospacing="0" w:after="0" w:afterAutospacing="0" w:line="570" w:lineRule="atLeast"/>
        <w:ind w:firstLine="645"/>
        <w:jc w:val="both"/>
        <w:rPr>
          <w:rFonts w:ascii="仿宋_GB2312" w:hAnsi="微软雅黑" w:eastAsia="仿宋_GB2312"/>
          <w:color w:val="040404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76"/>
    <w:rsid w:val="00000EE0"/>
    <w:rsid w:val="000062DC"/>
    <w:rsid w:val="00062A9A"/>
    <w:rsid w:val="00084FC7"/>
    <w:rsid w:val="0009026A"/>
    <w:rsid w:val="000C36F5"/>
    <w:rsid w:val="000D78A2"/>
    <w:rsid w:val="000E66C1"/>
    <w:rsid w:val="00103336"/>
    <w:rsid w:val="00131001"/>
    <w:rsid w:val="001403D0"/>
    <w:rsid w:val="00166203"/>
    <w:rsid w:val="00173575"/>
    <w:rsid w:val="00180C2D"/>
    <w:rsid w:val="001841C5"/>
    <w:rsid w:val="001A4509"/>
    <w:rsid w:val="001C4C79"/>
    <w:rsid w:val="001C71A6"/>
    <w:rsid w:val="00242FD0"/>
    <w:rsid w:val="00261617"/>
    <w:rsid w:val="002859C9"/>
    <w:rsid w:val="002C0F72"/>
    <w:rsid w:val="002F4F44"/>
    <w:rsid w:val="00311F59"/>
    <w:rsid w:val="0031361A"/>
    <w:rsid w:val="003149CB"/>
    <w:rsid w:val="00366D55"/>
    <w:rsid w:val="00376E9F"/>
    <w:rsid w:val="00386200"/>
    <w:rsid w:val="00394096"/>
    <w:rsid w:val="0039620B"/>
    <w:rsid w:val="00400C4C"/>
    <w:rsid w:val="00401B75"/>
    <w:rsid w:val="00402175"/>
    <w:rsid w:val="004072F4"/>
    <w:rsid w:val="00421C53"/>
    <w:rsid w:val="00462A36"/>
    <w:rsid w:val="004E0F8A"/>
    <w:rsid w:val="004E2B4E"/>
    <w:rsid w:val="00507305"/>
    <w:rsid w:val="00514D47"/>
    <w:rsid w:val="00536477"/>
    <w:rsid w:val="0053683A"/>
    <w:rsid w:val="00552C5A"/>
    <w:rsid w:val="005630DE"/>
    <w:rsid w:val="005A02AC"/>
    <w:rsid w:val="005B69A2"/>
    <w:rsid w:val="005E4FB1"/>
    <w:rsid w:val="006411A9"/>
    <w:rsid w:val="00644A59"/>
    <w:rsid w:val="00647903"/>
    <w:rsid w:val="006868A9"/>
    <w:rsid w:val="006C50A3"/>
    <w:rsid w:val="006D015E"/>
    <w:rsid w:val="006E01B7"/>
    <w:rsid w:val="007064B0"/>
    <w:rsid w:val="0070723A"/>
    <w:rsid w:val="00734BD5"/>
    <w:rsid w:val="00766580"/>
    <w:rsid w:val="00796D35"/>
    <w:rsid w:val="007B7F67"/>
    <w:rsid w:val="007F30F1"/>
    <w:rsid w:val="007F4B5B"/>
    <w:rsid w:val="00807EBD"/>
    <w:rsid w:val="00826B33"/>
    <w:rsid w:val="00866E1D"/>
    <w:rsid w:val="008C6786"/>
    <w:rsid w:val="008D02A2"/>
    <w:rsid w:val="00901371"/>
    <w:rsid w:val="009015AB"/>
    <w:rsid w:val="00933015"/>
    <w:rsid w:val="009368D0"/>
    <w:rsid w:val="00944FF6"/>
    <w:rsid w:val="00946241"/>
    <w:rsid w:val="00966127"/>
    <w:rsid w:val="009825DD"/>
    <w:rsid w:val="009B61F5"/>
    <w:rsid w:val="009E2F9D"/>
    <w:rsid w:val="009E66F7"/>
    <w:rsid w:val="00A163C7"/>
    <w:rsid w:val="00A37621"/>
    <w:rsid w:val="00A37BE4"/>
    <w:rsid w:val="00A7065B"/>
    <w:rsid w:val="00AB5E6C"/>
    <w:rsid w:val="00AC0A9C"/>
    <w:rsid w:val="00AD5717"/>
    <w:rsid w:val="00AE2580"/>
    <w:rsid w:val="00B01E32"/>
    <w:rsid w:val="00B1414C"/>
    <w:rsid w:val="00B3505C"/>
    <w:rsid w:val="00B52E5E"/>
    <w:rsid w:val="00B745F1"/>
    <w:rsid w:val="00B943F8"/>
    <w:rsid w:val="00BA49D3"/>
    <w:rsid w:val="00BB077B"/>
    <w:rsid w:val="00BB1307"/>
    <w:rsid w:val="00BB2825"/>
    <w:rsid w:val="00BB3BED"/>
    <w:rsid w:val="00BC0B0F"/>
    <w:rsid w:val="00BC6AA3"/>
    <w:rsid w:val="00C331B6"/>
    <w:rsid w:val="00C3591F"/>
    <w:rsid w:val="00C54010"/>
    <w:rsid w:val="00C849D2"/>
    <w:rsid w:val="00CB2AD1"/>
    <w:rsid w:val="00CD4647"/>
    <w:rsid w:val="00CD51D7"/>
    <w:rsid w:val="00CF7ABC"/>
    <w:rsid w:val="00D25A1C"/>
    <w:rsid w:val="00D4094F"/>
    <w:rsid w:val="00D62F92"/>
    <w:rsid w:val="00D7201C"/>
    <w:rsid w:val="00D923FA"/>
    <w:rsid w:val="00DA7530"/>
    <w:rsid w:val="00DB15FA"/>
    <w:rsid w:val="00DB1AEA"/>
    <w:rsid w:val="00DB610A"/>
    <w:rsid w:val="00DD0D86"/>
    <w:rsid w:val="00DD0E52"/>
    <w:rsid w:val="00E05043"/>
    <w:rsid w:val="00E23A78"/>
    <w:rsid w:val="00E338DC"/>
    <w:rsid w:val="00E425E4"/>
    <w:rsid w:val="00E42B27"/>
    <w:rsid w:val="00E442C2"/>
    <w:rsid w:val="00E46F67"/>
    <w:rsid w:val="00E50DE9"/>
    <w:rsid w:val="00E74ACE"/>
    <w:rsid w:val="00E95812"/>
    <w:rsid w:val="00EA3857"/>
    <w:rsid w:val="00ED1673"/>
    <w:rsid w:val="00F16D4C"/>
    <w:rsid w:val="00F329FD"/>
    <w:rsid w:val="00F35BCF"/>
    <w:rsid w:val="00F53AF2"/>
    <w:rsid w:val="00F62C5D"/>
    <w:rsid w:val="00F953A5"/>
    <w:rsid w:val="00FA3678"/>
    <w:rsid w:val="00FB5676"/>
    <w:rsid w:val="00FE4AF5"/>
    <w:rsid w:val="37F5D3A3"/>
    <w:rsid w:val="3D373E68"/>
    <w:rsid w:val="7BDBF740"/>
    <w:rsid w:val="97E51C7F"/>
    <w:rsid w:val="F7FF8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unhideWhenUsed/>
    <w:qFormat/>
    <w:uiPriority w:val="39"/>
    <w:pPr>
      <w:spacing w:line="660" w:lineRule="exact"/>
      <w:ind w:firstLine="705"/>
    </w:pPr>
    <w:rPr>
      <w:rFonts w:ascii="仿宋_GB2312" w:hAnsi="Times New Roman" w:eastAsia="仿宋_GB2312" w:cs="Times New Roman"/>
      <w:color w:val="000000"/>
      <w:sz w:val="36"/>
      <w:szCs w:val="36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1005</Words>
  <Characters>1026</Characters>
  <Lines>60</Lines>
  <Paragraphs>24</Paragraphs>
  <TotalTime>20</TotalTime>
  <ScaleCrop>false</ScaleCrop>
  <LinksUpToDate>false</LinksUpToDate>
  <CharactersWithSpaces>2007</CharactersWithSpaces>
  <Application>WPS Office_11.1.0.9719_F1E327BC-269C-435d-A152-05C5408002CA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2022-04-22T17:22:00Z</dcterms:created>
  <dc:creator>a82</dc:creator>
  <cp:lastModifiedBy>爱新觉罗-琛</cp:lastModifiedBy>
  <dcterms:modified xsi:type="dcterms:W3CDTF">2022-09-29T10:06:52Z</dcterms:modified>
  <cp:revision>257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2052-11.1.0.9719</vt:lpwstr>
  </property>
</Properties>
</file>